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6D28D9"/>
          <w:sz w:val="20"/>
        </w:rPr>
        <w:t>SHIFTQUALITY TEMPLATE  ·  AI POLICY</w:t>
      </w:r>
    </w:p>
    <w:p>
      <w:r>
        <w:rPr>
          <w:b/>
          <w:color w:val="3B0764"/>
          <w:sz w:val="48"/>
        </w:rPr>
        <w:t>AI Data Handling Policy</w:t>
      </w:r>
    </w:p>
    <w:p>
      <w:r>
        <w:t>Which data may go into which AI tools, what a vendor has to promise before it gets that data, and how prompts, outputs, logs and training data are kept and deleted. This template is a starting point, not legal advice. Where a clause depends on law that applies to you (employment, privacy, sector rules), have it reviewed before you adopt it.</w:t>
      </w:r>
    </w:p>
    <w:p>
      <w:pPr>
        <w:keepNext/>
      </w:pPr>
      <w:r>
        <w:rPr>
          <w:b/>
          <w:color w:val="6D28D9"/>
          <w:sz w:val="28"/>
        </w:rPr>
        <w:t>How to use this template</w:t>
      </w:r>
    </w:p>
    <w:p>
      <w:r>
        <w:t>•  Start with the tier table in section 2. If you already have a data classification scheme, use its tiers and add the AI columns.</w:t>
      </w:r>
    </w:p>
    <w:p>
      <w:r>
        <w:t>•  Fill the vendor checklist (section 3) for every AI tool before it reaches the approved list in the AI Acceptable Use Policy.</w:t>
      </w:r>
    </w:p>
    <w:p>
      <w:r>
        <w:t>•  Agree the retention periods in section 6 with whoever owns records and privacy.</w:t>
      </w:r>
    </w:p>
    <w:p>
      <w:r>
        <w:t>•  Replace every [bracketed] part and delete clauses that do not apply.</w:t>
      </w:r>
    </w:p>
    <w:p>
      <w:pPr>
        <w:keepNext/>
      </w:pPr>
      <w:r>
        <w:rPr>
          <w:b/>
          <w:color w:val="6D28D9"/>
          <w:sz w:val="28"/>
        </w:rPr>
        <w:t>1. Purpose and scope</w:t>
      </w:r>
    </w:p>
    <w:p>
      <w:r>
        <w:t>This policy sets how [Organisation] data is used with AI tools and systems: data sent to third-party AI services, data used to train, fine-tune or ground AI systems (including retrieval), and the prompts, outputs and logs those systems produce. It applies to everyone covered by the AI Acceptable Use Policy and to every AI system [Organisation] builds or deploys.</w:t>
      </w:r>
    </w:p>
    <w:p>
      <w:pPr>
        <w:keepNext/>
      </w:pPr>
      <w:r>
        <w:rPr>
          <w:b/>
          <w:color w:val="6D28D9"/>
          <w:sz w:val="28"/>
        </w:rPr>
        <w:t>2. Data tiers for AI</w:t>
      </w:r>
    </w:p>
    <w:p>
      <w:pPr>
        <w:keepNext/>
      </w:pPr>
      <w:r>
        <w:rPr>
          <w:i/>
          <w:color w:val="6B7280"/>
          <w:sz w:val="20"/>
        </w:rPr>
        <w:t>The question for each tier is not only 'may it go in', but 'may the vendor keep it' and 'may we train on it'. Adjust the examples to your own data.</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296"/>
            <w:shd w:val="clear" w:fill="6D28D9"/>
          </w:tcPr>
          <w:p>
            <w:r>
              <w:rPr>
                <w:b/>
                <w:color w:val="FFFFFF"/>
                <w:sz w:val="18"/>
              </w:rPr>
              <w:t>Tier</w:t>
            </w:r>
          </w:p>
        </w:tc>
        <w:tc>
          <w:tcPr>
            <w:tcW w:type="dxa" w:w="2304"/>
            <w:shd w:val="clear" w:fill="6D28D9"/>
          </w:tcPr>
          <w:p>
            <w:r>
              <w:rPr>
                <w:b/>
                <w:color w:val="FFFFFF"/>
                <w:sz w:val="18"/>
              </w:rPr>
              <w:t>Examples</w:t>
            </w:r>
          </w:p>
        </w:tc>
        <w:tc>
          <w:tcPr>
            <w:tcW w:type="dxa" w:w="1872"/>
            <w:shd w:val="clear" w:fill="6D28D9"/>
          </w:tcPr>
          <w:p>
            <w:r>
              <w:rPr>
                <w:b/>
                <w:color w:val="FFFFFF"/>
                <w:sz w:val="18"/>
              </w:rPr>
              <w:t>In approved AI tools</w:t>
            </w:r>
          </w:p>
        </w:tc>
        <w:tc>
          <w:tcPr>
            <w:tcW w:type="dxa" w:w="1872"/>
            <w:shd w:val="clear" w:fill="6D28D9"/>
          </w:tcPr>
          <w:p>
            <w:r>
              <w:rPr>
                <w:b/>
                <w:color w:val="FFFFFF"/>
                <w:sz w:val="18"/>
              </w:rPr>
              <w:t>For training or fine-tuning</w:t>
            </w:r>
          </w:p>
        </w:tc>
        <w:tc>
          <w:tcPr>
            <w:tcW w:type="dxa" w:w="1872"/>
            <w:shd w:val="clear" w:fill="6D28D9"/>
          </w:tcPr>
          <w:p>
            <w:r>
              <w:rPr>
                <w:b/>
                <w:color w:val="FFFFFF"/>
                <w:sz w:val="18"/>
              </w:rPr>
              <w:t>For retrieval (RAG)</w:t>
            </w:r>
          </w:p>
        </w:tc>
      </w:tr>
      <w:tr>
        <w:tc>
          <w:tcPr>
            <w:tcW w:type="dxa" w:w="1296"/>
          </w:tcPr>
          <w:p>
            <w:r>
              <w:rPr>
                <w:b/>
                <w:sz w:val="18"/>
              </w:rPr>
              <w:t>Public</w:t>
            </w:r>
          </w:p>
        </w:tc>
        <w:tc>
          <w:tcPr>
            <w:tcW w:type="dxa" w:w="2304"/>
          </w:tcPr>
          <w:p>
            <w:r>
              <w:rPr>
                <w:sz w:val="18"/>
              </w:rPr>
              <w:t>Published content, public docs</w:t>
            </w:r>
          </w:p>
        </w:tc>
        <w:tc>
          <w:tcPr>
            <w:tcW w:type="dxa" w:w="1872"/>
          </w:tcPr>
          <w:p>
            <w:r>
              <w:rPr>
                <w:sz w:val="18"/>
              </w:rPr>
              <w:t>Yes</w:t>
            </w:r>
          </w:p>
        </w:tc>
        <w:tc>
          <w:tcPr>
            <w:tcW w:type="dxa" w:w="1872"/>
          </w:tcPr>
          <w:p>
            <w:r>
              <w:rPr>
                <w:sz w:val="18"/>
              </w:rPr>
              <w:t>Yes, subject to licence</w:t>
            </w:r>
          </w:p>
        </w:tc>
        <w:tc>
          <w:tcPr>
            <w:tcW w:type="dxa" w:w="1872"/>
          </w:tcPr>
          <w:p>
            <w:r>
              <w:rPr>
                <w:sz w:val="18"/>
              </w:rPr>
              <w:t>Yes</w:t>
            </w:r>
          </w:p>
        </w:tc>
      </w:tr>
      <w:tr>
        <w:tc>
          <w:tcPr>
            <w:tcW w:type="dxa" w:w="1296"/>
          </w:tcPr>
          <w:p>
            <w:r>
              <w:rPr>
                <w:b/>
                <w:sz w:val="18"/>
              </w:rPr>
              <w:t>Internal</w:t>
            </w:r>
          </w:p>
        </w:tc>
        <w:tc>
          <w:tcPr>
            <w:tcW w:type="dxa" w:w="2304"/>
          </w:tcPr>
          <w:p>
            <w:r>
              <w:rPr>
                <w:sz w:val="18"/>
              </w:rPr>
              <w:t>Internal docs, plans, non-sensitive email</w:t>
            </w:r>
          </w:p>
        </w:tc>
        <w:tc>
          <w:tcPr>
            <w:tcW w:type="dxa" w:w="1872"/>
          </w:tcPr>
          <w:p>
            <w:r>
              <w:rPr>
                <w:sz w:val="18"/>
              </w:rPr>
              <w:t>Yes, approved tools only</w:t>
            </w:r>
          </w:p>
        </w:tc>
        <w:tc>
          <w:tcPr>
            <w:tcW w:type="dxa" w:w="1872"/>
          </w:tcPr>
          <w:p>
            <w:r>
              <w:rPr>
                <w:sz w:val="18"/>
              </w:rPr>
              <w:t>With owner approval</w:t>
            </w:r>
          </w:p>
        </w:tc>
        <w:tc>
          <w:tcPr>
            <w:tcW w:type="dxa" w:w="1872"/>
          </w:tcPr>
          <w:p>
            <w:r>
              <w:rPr>
                <w:sz w:val="18"/>
              </w:rPr>
              <w:t>Yes, with access control</w:t>
            </w:r>
          </w:p>
        </w:tc>
      </w:tr>
      <w:tr>
        <w:tc>
          <w:tcPr>
            <w:tcW w:type="dxa" w:w="1296"/>
          </w:tcPr>
          <w:p>
            <w:r>
              <w:rPr>
                <w:b/>
                <w:sz w:val="18"/>
              </w:rPr>
              <w:t>Confidential</w:t>
            </w:r>
          </w:p>
        </w:tc>
        <w:tc>
          <w:tcPr>
            <w:tcW w:type="dxa" w:w="2304"/>
          </w:tcPr>
          <w:p>
            <w:r>
              <w:rPr>
                <w:sz w:val="18"/>
              </w:rPr>
              <w:t>Source code, contracts, financials, customer lists</w:t>
            </w:r>
          </w:p>
        </w:tc>
        <w:tc>
          <w:tcPr>
            <w:tcW w:type="dxa" w:w="1872"/>
          </w:tcPr>
          <w:p>
            <w:r>
              <w:rPr>
                <w:sz w:val="18"/>
              </w:rPr>
              <w:t>Only tools approved for this tier</w:t>
            </w:r>
          </w:p>
        </w:tc>
        <w:tc>
          <w:tcPr>
            <w:tcW w:type="dxa" w:w="1872"/>
          </w:tcPr>
          <w:p>
            <w:r>
              <w:rPr>
                <w:sz w:val="18"/>
              </w:rPr>
              <w:t>Only with a documented assessment</w:t>
            </w:r>
          </w:p>
        </w:tc>
        <w:tc>
          <w:tcPr>
            <w:tcW w:type="dxa" w:w="1872"/>
          </w:tcPr>
          <w:p>
            <w:r>
              <w:rPr>
                <w:sz w:val="18"/>
              </w:rPr>
              <w:t>Only with per-user access control</w:t>
            </w:r>
          </w:p>
        </w:tc>
      </w:tr>
      <w:tr>
        <w:tc>
          <w:tcPr>
            <w:tcW w:type="dxa" w:w="1296"/>
          </w:tcPr>
          <w:p>
            <w:r>
              <w:rPr>
                <w:b/>
                <w:sz w:val="18"/>
              </w:rPr>
              <w:t>Restricted</w:t>
            </w:r>
          </w:p>
        </w:tc>
        <w:tc>
          <w:tcPr>
            <w:tcW w:type="dxa" w:w="2304"/>
          </w:tcPr>
          <w:p>
            <w:r>
              <w:rPr>
                <w:sz w:val="18"/>
              </w:rPr>
              <w:t>Personal data, special-category data, credentials, regulated data, secrets</w:t>
            </w:r>
          </w:p>
        </w:tc>
        <w:tc>
          <w:tcPr>
            <w:tcW w:type="dxa" w:w="1872"/>
          </w:tcPr>
          <w:p>
            <w:r>
              <w:rPr>
                <w:sz w:val="18"/>
              </w:rPr>
              <w:t>No, unless a specific approved use exists</w:t>
            </w:r>
          </w:p>
        </w:tc>
        <w:tc>
          <w:tcPr>
            <w:tcW w:type="dxa" w:w="1872"/>
          </w:tcPr>
          <w:p>
            <w:r>
              <w:rPr>
                <w:sz w:val="18"/>
              </w:rPr>
              <w:t>No, unless a privacy assessment approves it</w:t>
            </w:r>
          </w:p>
        </w:tc>
        <w:tc>
          <w:tcPr>
            <w:tcW w:type="dxa" w:w="1872"/>
          </w:tcPr>
          <w:p>
            <w:r>
              <w:rPr>
                <w:sz w:val="18"/>
              </w:rPr>
              <w:t>No, unless approved and access-controlled</w:t>
            </w:r>
          </w:p>
        </w:tc>
      </w:tr>
    </w:tbl>
    <w:p/>
    <w:p>
      <w:pPr>
        <w:keepNext/>
      </w:pPr>
      <w:r>
        <w:rPr>
          <w:b/>
          <w:color w:val="6D28D9"/>
          <w:sz w:val="28"/>
        </w:rPr>
        <w:t>3. Before a vendor gets our data</w:t>
      </w:r>
    </w:p>
    <w:p>
      <w:pPr>
        <w:keepNext/>
      </w:pPr>
      <w:r>
        <w:rPr>
          <w:i/>
          <w:color w:val="6B7280"/>
          <w:sz w:val="20"/>
        </w:rPr>
        <w:t>Get the answers in the contract or the vendor's data processing terms, not from a sales call. Record them so the next review can see what changed.</w:t>
      </w:r>
    </w:p>
    <w:p>
      <w:r>
        <w:t xml:space="preserve">☐  </w:t>
      </w:r>
      <w:r>
        <w:t>Does the vendor use our inputs or outputs to train or improve its models? The answer must be no for Internal data and above, in writing.</w:t>
      </w:r>
    </w:p>
    <w:p>
      <w:r>
        <w:t xml:space="preserve">☐  </w:t>
      </w:r>
      <w:r>
        <w:t>How long does the vendor keep prompts, outputs and files, and can we set or shorten that?</w:t>
      </w:r>
    </w:p>
    <w:p>
      <w:r>
        <w:t xml:space="preserve">☐  </w:t>
      </w:r>
      <w:r>
        <w:t>Where is the data processed and stored, and which sub-processors see it?</w:t>
      </w:r>
    </w:p>
    <w:p>
      <w:r>
        <w:t xml:space="preserve">☐  </w:t>
      </w:r>
      <w:r>
        <w:t>Can we delete our data on request, and is deletion confirmed?</w:t>
      </w:r>
    </w:p>
    <w:p>
      <w:r>
        <w:t xml:space="preserve">☐  </w:t>
      </w:r>
      <w:r>
        <w:t>Is a data processing agreement in place where personal data is involved?</w:t>
      </w:r>
    </w:p>
    <w:p>
      <w:r>
        <w:t xml:space="preserve">☐  </w:t>
      </w:r>
      <w:r>
        <w:t>What independent security evidence does the vendor provide ([SOC 2 report, ISO/IEC 27001 certificate])?</w:t>
      </w:r>
    </w:p>
    <w:p>
      <w:r>
        <w:t xml:space="preserve">☐  </w:t>
      </w:r>
      <w:r>
        <w:t>Who at the vendor can access our data, and is that access logged?</w:t>
      </w:r>
    </w:p>
    <w:p>
      <w:r>
        <w:t xml:space="preserve">☐  </w:t>
      </w:r>
      <w:r>
        <w:t>Which tier is the tool approved for, and who owns the relationship?</w:t>
      </w:r>
    </w:p>
    <w:p/>
    <w:p>
      <w:pPr>
        <w:keepNext/>
      </w:pPr>
      <w:r>
        <w:rPr>
          <w:b/>
          <w:color w:val="6D28D9"/>
          <w:sz w:val="28"/>
        </w:rPr>
        <w:t>4. Personal data</w:t>
      </w:r>
    </w:p>
    <w:p>
      <w:pPr>
        <w:keepNext/>
      </w:pPr>
      <w:r>
        <w:rPr>
          <w:i/>
          <w:color w:val="6B7280"/>
          <w:sz w:val="20"/>
        </w:rPr>
        <w:t>Where the GDPR or similar law applies, AI does not change the rules; it makes it easier to break them at scale.</w:t>
      </w:r>
    </w:p>
    <w:p>
      <w:r>
        <w:t>•  Use personal data with AI only for a purpose with a lawful basis, and only the minimum the purpose needs.</w:t>
      </w:r>
    </w:p>
    <w:p>
      <w:r>
        <w:t>•  Before a new AI use of personal data that is likely to be high-risk, complete a data protection impact assessment (GDPR Art. 35) with [privacy owner].</w:t>
      </w:r>
    </w:p>
    <w:p>
      <w:r>
        <w:t>•  Do not use AI to make decisions about people based solely on automated processing where they have legal or similarly significant effects, unless an exception applies and safeguards, including human review, are in place (GDPR Art. 22).</w:t>
      </w:r>
    </w:p>
    <w:p>
      <w:r>
        <w:t>•  Tell people in the privacy notice how AI is used with their data.</w:t>
      </w:r>
    </w:p>
    <w:p>
      <w:r>
        <w:t>•  Handle requests to access, correct or delete personal data across AI systems too, including retrieval indexes and logs.</w:t>
      </w:r>
    </w:p>
    <w:p>
      <w:pPr>
        <w:keepNext/>
      </w:pPr>
      <w:r>
        <w:rPr>
          <w:b/>
          <w:color w:val="6D28D9"/>
          <w:sz w:val="28"/>
        </w:rPr>
        <w:t>5. Data for training, fine-tuning and retrieval</w:t>
      </w:r>
    </w:p>
    <w:p>
      <w:pPr>
        <w:keepNext/>
      </w:pPr>
      <w:r>
        <w:rPr>
          <w:i/>
          <w:color w:val="6B7280"/>
          <w:sz w:val="20"/>
        </w:rPr>
        <w:t>The questions you will be asked later are where the data came from and whether you were allowed to use it. Record the answers now.</w:t>
      </w:r>
    </w:p>
    <w:p>
      <w:r>
        <w:t>•  Record the source, licence or permission, date and owner of every dataset used to train, fine-tune, evaluate or ground an AI system.</w:t>
      </w:r>
    </w:p>
    <w:p>
      <w:r>
        <w:t>•  Do not use customer data for training without [contractual permission / consent] and [owner] approval.</w:t>
      </w:r>
    </w:p>
    <w:p>
      <w:r>
        <w:t>•  Apply the same access controls in a retrieval index as on the source documents, so the AI system cannot show a user what they could not open themselves.</w:t>
      </w:r>
    </w:p>
    <w:p>
      <w:r>
        <w:t>•  Remove data from training sets and indexes when its permission ends, and record how removal from a trained model is handled.</w:t>
      </w:r>
    </w:p>
    <w:p>
      <w:pPr>
        <w:keepNext/>
      </w:pPr>
      <w:r>
        <w:rPr>
          <w:b/>
          <w:color w:val="6D28D9"/>
          <w:sz w:val="28"/>
        </w:rPr>
        <w:t>6. Prompts, outputs and logs</w:t>
      </w:r>
    </w:p>
    <w:p>
      <w:pPr>
        <w:keepNext/>
      </w:pPr>
      <w:r>
        <w:rPr>
          <w:i/>
          <w:color w:val="6B7280"/>
          <w:sz w:val="20"/>
        </w:rPr>
        <w:t>Logs are what let you investigate an incident, and they often contain the most sensitive data in the system. Keep them, protect them, and expire them.</w:t>
      </w:r>
    </w:p>
    <w:tbl>
      <w:tblPr>
        <w:tblStyle w:val="TableGrid"/>
        <w:tblW w:type="auto" w:w="0"/>
        <w:tblLook w:firstColumn="1" w:firstRow="1" w:lastColumn="0" w:lastRow="0" w:noHBand="0" w:noVBand="1" w:val="04A0"/>
      </w:tblPr>
      <w:tblGrid>
        <w:gridCol w:w="2160"/>
        <w:gridCol w:w="2160"/>
        <w:gridCol w:w="2160"/>
        <w:gridCol w:w="2160"/>
      </w:tblGrid>
      <w:tr>
        <w:tc>
          <w:tcPr>
            <w:tcW w:type="dxa" w:w="3168"/>
            <w:shd w:val="clear" w:fill="6D28D9"/>
          </w:tcPr>
          <w:p>
            <w:r>
              <w:rPr>
                <w:b/>
                <w:color w:val="FFFFFF"/>
                <w:sz w:val="18"/>
              </w:rPr>
              <w:t>Record</w:t>
            </w:r>
          </w:p>
        </w:tc>
        <w:tc>
          <w:tcPr>
            <w:tcW w:type="dxa" w:w="1872"/>
            <w:shd w:val="clear" w:fill="6D28D9"/>
          </w:tcPr>
          <w:p>
            <w:r>
              <w:rPr>
                <w:b/>
                <w:color w:val="FFFFFF"/>
                <w:sz w:val="18"/>
              </w:rPr>
              <w:t>Kept for</w:t>
            </w:r>
          </w:p>
        </w:tc>
        <w:tc>
          <w:tcPr>
            <w:tcW w:type="dxa" w:w="2592"/>
            <w:shd w:val="clear" w:fill="6D28D9"/>
          </w:tcPr>
          <w:p>
            <w:r>
              <w:rPr>
                <w:b/>
                <w:color w:val="FFFFFF"/>
                <w:sz w:val="18"/>
              </w:rPr>
              <w:t>Who can access</w:t>
            </w:r>
          </w:p>
        </w:tc>
        <w:tc>
          <w:tcPr>
            <w:tcW w:type="dxa" w:w="1440"/>
            <w:shd w:val="clear" w:fill="6D28D9"/>
          </w:tcPr>
          <w:p>
            <w:r>
              <w:rPr>
                <w:b/>
                <w:color w:val="FFFFFF"/>
                <w:sz w:val="18"/>
              </w:rPr>
              <w:t>Owner</w:t>
            </w:r>
          </w:p>
        </w:tc>
      </w:tr>
      <w:tr>
        <w:tc>
          <w:tcPr>
            <w:tcW w:type="dxa" w:w="3168"/>
          </w:tcPr>
          <w:p>
            <w:r>
              <w:rPr>
                <w:b/>
                <w:sz w:val="18"/>
              </w:rPr>
              <w:t>Prompts and outputs in internal AI systems</w:t>
            </w:r>
          </w:p>
        </w:tc>
        <w:tc>
          <w:tcPr>
            <w:tcW w:type="dxa" w:w="1872"/>
          </w:tcPr>
          <w:p>
            <w:r>
              <w:rPr>
                <w:sz w:val="18"/>
              </w:rPr>
              <w:t>[90 days]</w:t>
            </w:r>
          </w:p>
        </w:tc>
        <w:tc>
          <w:tcPr>
            <w:tcW w:type="dxa" w:w="2592"/>
          </w:tcPr>
          <w:p>
            <w:r>
              <w:rPr>
                <w:sz w:val="18"/>
              </w:rPr>
              <w:t>[System owners, security]</w:t>
            </w:r>
          </w:p>
        </w:tc>
        <w:tc>
          <w:tcPr>
            <w:tcW w:type="dxa" w:w="1440"/>
          </w:tcPr>
          <w:p>
            <w:r>
              <w:rPr>
                <w:sz w:val="18"/>
              </w:rPr>
              <w:t>[Role]</w:t>
            </w:r>
          </w:p>
        </w:tc>
      </w:tr>
      <w:tr>
        <w:tc>
          <w:tcPr>
            <w:tcW w:type="dxa" w:w="3168"/>
          </w:tcPr>
          <w:p>
            <w:r>
              <w:rPr>
                <w:b/>
                <w:sz w:val="18"/>
              </w:rPr>
              <w:t>Agent action logs</w:t>
            </w:r>
          </w:p>
        </w:tc>
        <w:tc>
          <w:tcPr>
            <w:tcW w:type="dxa" w:w="1872"/>
          </w:tcPr>
          <w:p>
            <w:r>
              <w:rPr>
                <w:sz w:val="18"/>
              </w:rPr>
              <w:t>[1 year]</w:t>
            </w:r>
          </w:p>
        </w:tc>
        <w:tc>
          <w:tcPr>
            <w:tcW w:type="dxa" w:w="2592"/>
          </w:tcPr>
          <w:p>
            <w:r>
              <w:rPr>
                <w:sz w:val="18"/>
              </w:rPr>
              <w:t>[Agent owners, security, audit]</w:t>
            </w:r>
          </w:p>
        </w:tc>
        <w:tc>
          <w:tcPr>
            <w:tcW w:type="dxa" w:w="1440"/>
          </w:tcPr>
          <w:p>
            <w:r>
              <w:rPr>
                <w:sz w:val="18"/>
              </w:rPr>
              <w:t>[Role]</w:t>
            </w:r>
          </w:p>
        </w:tc>
      </w:tr>
      <w:tr>
        <w:tc>
          <w:tcPr>
            <w:tcW w:type="dxa" w:w="3168"/>
          </w:tcPr>
          <w:p>
            <w:r>
              <w:rPr>
                <w:b/>
                <w:sz w:val="18"/>
              </w:rPr>
              <w:t>Evaluation datasets and results</w:t>
            </w:r>
          </w:p>
        </w:tc>
        <w:tc>
          <w:tcPr>
            <w:tcW w:type="dxa" w:w="1872"/>
          </w:tcPr>
          <w:p>
            <w:r>
              <w:rPr>
                <w:sz w:val="18"/>
              </w:rPr>
              <w:t>[Life of the system + 1 year]</w:t>
            </w:r>
          </w:p>
        </w:tc>
        <w:tc>
          <w:tcPr>
            <w:tcW w:type="dxa" w:w="2592"/>
          </w:tcPr>
          <w:p>
            <w:r>
              <w:rPr>
                <w:sz w:val="18"/>
              </w:rPr>
              <w:t>[AI team]</w:t>
            </w:r>
          </w:p>
        </w:tc>
        <w:tc>
          <w:tcPr>
            <w:tcW w:type="dxa" w:w="1440"/>
          </w:tcPr>
          <w:p>
            <w:r>
              <w:rPr>
                <w:sz w:val="18"/>
              </w:rPr>
              <w:t>[Role]</w:t>
            </w:r>
          </w:p>
        </w:tc>
      </w:tr>
      <w:tr>
        <w:tc>
          <w:tcPr>
            <w:tcW w:type="dxa" w:w="3168"/>
          </w:tcPr>
          <w:p>
            <w:r>
              <w:rPr>
                <w:b/>
                <w:sz w:val="18"/>
              </w:rPr>
              <w:t>Training and fine-tuning datasets</w:t>
            </w:r>
          </w:p>
        </w:tc>
        <w:tc>
          <w:tcPr>
            <w:tcW w:type="dxa" w:w="1872"/>
          </w:tcPr>
          <w:p>
            <w:r>
              <w:rPr>
                <w:sz w:val="18"/>
              </w:rPr>
              <w:t>[While permission lasts]</w:t>
            </w:r>
          </w:p>
        </w:tc>
        <w:tc>
          <w:tcPr>
            <w:tcW w:type="dxa" w:w="2592"/>
          </w:tcPr>
          <w:p>
            <w:r>
              <w:rPr>
                <w:sz w:val="18"/>
              </w:rPr>
              <w:t>[AI team, data owner]</w:t>
            </w:r>
          </w:p>
        </w:tc>
        <w:tc>
          <w:tcPr>
            <w:tcW w:type="dxa" w:w="1440"/>
          </w:tcPr>
          <w:p>
            <w:r>
              <w:rPr>
                <w:sz w:val="18"/>
              </w:rPr>
              <w:t>[Role]</w:t>
            </w:r>
          </w:p>
        </w:tc>
      </w:tr>
      <w:tr>
        <w:tc>
          <w:tcPr>
            <w:tcW w:type="dxa" w:w="3168"/>
          </w:tcPr>
          <w:p>
            <w:r>
              <w:rPr>
                <w:b/>
                <w:sz w:val="18"/>
              </w:rPr>
            </w:r>
          </w:p>
        </w:tc>
        <w:tc>
          <w:tcPr>
            <w:tcW w:type="dxa" w:w="1872"/>
          </w:tcPr>
          <w:p>
            <w:r>
              <w:rPr>
                <w:sz w:val="18"/>
              </w:rPr>
            </w:r>
          </w:p>
        </w:tc>
        <w:tc>
          <w:tcPr>
            <w:tcW w:type="dxa" w:w="2592"/>
          </w:tcPr>
          <w:p>
            <w:r>
              <w:rPr>
                <w:sz w:val="18"/>
              </w:rPr>
            </w:r>
          </w:p>
        </w:tc>
        <w:tc>
          <w:tcPr>
            <w:tcW w:type="dxa" w:w="1440"/>
          </w:tcPr>
          <w:p>
            <w:r>
              <w:rPr>
                <w:sz w:val="18"/>
              </w:rPr>
            </w:r>
          </w:p>
        </w:tc>
      </w:tr>
    </w:tbl>
    <w:p/>
    <w:p>
      <w:r>
        <w:t>AI systems that hold Confidential or Restricted data are tested before release for leaking it in their output (sensitive information disclosure, LLM02 in the OWASP Top 10 for LLM Applications 2025), including through prompt injection.</w:t>
      </w:r>
    </w:p>
    <w:p>
      <w:pPr>
        <w:keepNext/>
      </w:pPr>
      <w:r>
        <w:rPr>
          <w:b/>
          <w:color w:val="6D28D9"/>
          <w:sz w:val="28"/>
        </w:rPr>
        <w:t>7. When data goes where it should not</w:t>
      </w:r>
    </w:p>
    <w:p>
      <w:r>
        <w:t>Putting data into an unapproved tool, an AI system disclosing data it should not, or a vendor breach involving our data is a data incident. Report it to [channel] at once. [Owner] assesses it under the incident process; where personal data is involved and the GDPR applies, a notifiable breach must be reported to the supervisory authority within 72 hours of becoming aware of it (GDPR Art. 33).</w:t>
      </w:r>
    </w:p>
    <w:p>
      <w:pPr>
        <w:keepNext/>
      </w:pPr>
      <w:r>
        <w:rPr>
          <w:b/>
          <w:color w:val="6D28D9"/>
          <w:sz w:val="28"/>
        </w:rPr>
        <w:t>Ownership, exceptions and review</w:t>
      </w:r>
    </w:p>
    <w:p>
      <w:pPr>
        <w:keepNext/>
      </w:pPr>
      <w:r>
        <w:rPr>
          <w:i/>
          <w:color w:val="6B7280"/>
          <w:sz w:val="20"/>
        </w:rPr>
        <w:t>A policy without an owner and a review date goes stale. Six months is a sensible review cycle while the rules and tools move this fast.</w:t>
      </w:r>
    </w:p>
    <w:tbl>
      <w:tblPr>
        <w:tblStyle w:val="TableGrid"/>
        <w:tblW w:type="auto" w:w="0"/>
        <w:tblLook w:firstColumn="1" w:firstRow="1" w:lastColumn="0" w:lastRow="0" w:noHBand="0" w:noVBand="1" w:val="04A0"/>
      </w:tblPr>
      <w:tblGrid>
        <w:gridCol w:w="4320"/>
        <w:gridCol w:w="4320"/>
      </w:tblGrid>
      <w:tr>
        <w:tc>
          <w:tcPr>
            <w:tcW w:type="dxa" w:w="2592"/>
            <w:shd w:val="clear" w:fill="6D28D9"/>
          </w:tcPr>
          <w:p>
            <w:r>
              <w:rPr>
                <w:b/>
                <w:color w:val="FFFFFF"/>
                <w:sz w:val="18"/>
              </w:rPr>
              <w:t>Item</w:t>
            </w:r>
          </w:p>
        </w:tc>
        <w:tc>
          <w:tcPr>
            <w:tcW w:type="dxa" w:w="6624"/>
            <w:shd w:val="clear" w:fill="6D28D9"/>
          </w:tcPr>
          <w:p>
            <w:r>
              <w:rPr>
                <w:b/>
                <w:color w:val="FFFFFF"/>
                <w:sz w:val="18"/>
              </w:rPr>
              <w:t>Entry</w:t>
            </w:r>
          </w:p>
        </w:tc>
      </w:tr>
      <w:tr>
        <w:tc>
          <w:tcPr>
            <w:tcW w:type="dxa" w:w="2592"/>
          </w:tcPr>
          <w:p>
            <w:r>
              <w:rPr>
                <w:b/>
                <w:sz w:val="18"/>
              </w:rPr>
              <w:t>Policy owner</w:t>
            </w:r>
          </w:p>
        </w:tc>
        <w:tc>
          <w:tcPr>
            <w:tcW w:type="dxa" w:w="6624"/>
          </w:tcPr>
          <w:p>
            <w:r>
              <w:rPr>
                <w:sz w:val="18"/>
              </w:rPr>
              <w:t>[Role, for example Data Protection Officer or Head of Data]</w:t>
            </w:r>
          </w:p>
        </w:tc>
      </w:tr>
      <w:tr>
        <w:tc>
          <w:tcPr>
            <w:tcW w:type="dxa" w:w="2592"/>
          </w:tcPr>
          <w:p>
            <w:r>
              <w:rPr>
                <w:b/>
                <w:sz w:val="18"/>
              </w:rPr>
              <w:t>Approved by</w:t>
            </w:r>
          </w:p>
        </w:tc>
        <w:tc>
          <w:tcPr>
            <w:tcW w:type="dxa" w:w="6624"/>
          </w:tcPr>
          <w:p>
            <w:r>
              <w:rPr>
                <w:sz w:val="18"/>
              </w:rPr>
              <w:t>[Name, role]</w:t>
            </w:r>
          </w:p>
        </w:tc>
      </w:tr>
      <w:tr>
        <w:tc>
          <w:tcPr>
            <w:tcW w:type="dxa" w:w="2592"/>
          </w:tcPr>
          <w:p>
            <w:r>
              <w:rPr>
                <w:b/>
                <w:sz w:val="18"/>
              </w:rPr>
              <w:t>Effective date</w:t>
            </w:r>
          </w:p>
        </w:tc>
        <w:tc>
          <w:tcPr>
            <w:tcW w:type="dxa" w:w="6624"/>
          </w:tcPr>
          <w:p>
            <w:r>
              <w:rPr>
                <w:sz w:val="18"/>
              </w:rPr>
              <w:t>[Date]</w:t>
            </w:r>
          </w:p>
        </w:tc>
      </w:tr>
      <w:tr>
        <w:tc>
          <w:tcPr>
            <w:tcW w:type="dxa" w:w="2592"/>
          </w:tcPr>
          <w:p>
            <w:r>
              <w:rPr>
                <w:b/>
                <w:sz w:val="18"/>
              </w:rPr>
              <w:t>Next review</w:t>
            </w:r>
          </w:p>
        </w:tc>
        <w:tc>
          <w:tcPr>
            <w:tcW w:type="dxa" w:w="6624"/>
          </w:tcPr>
          <w:p>
            <w:r>
              <w:rPr>
                <w:sz w:val="18"/>
              </w:rPr>
              <w:t>[Date, no later than six months from the effective date]</w:t>
            </w:r>
          </w:p>
        </w:tc>
      </w:tr>
      <w:tr>
        <w:tc>
          <w:tcPr>
            <w:tcW w:type="dxa" w:w="2592"/>
          </w:tcPr>
          <w:p>
            <w:r>
              <w:rPr>
                <w:b/>
                <w:sz w:val="18"/>
              </w:rPr>
              <w:t>Exceptions</w:t>
            </w:r>
          </w:p>
        </w:tc>
        <w:tc>
          <w:tcPr>
            <w:tcW w:type="dxa" w:w="6624"/>
          </w:tcPr>
          <w:p>
            <w:r>
              <w:rPr>
                <w:sz w:val="18"/>
              </w:rPr>
              <w:t>Requested in writing from the policy owner, time-limited, and recorded in the exceptions log</w:t>
            </w:r>
          </w:p>
        </w:tc>
      </w:tr>
      <w:tr>
        <w:tc>
          <w:tcPr>
            <w:tcW w:type="dxa" w:w="2592"/>
          </w:tcPr>
          <w:p>
            <w:r>
              <w:rPr>
                <w:b/>
                <w:sz w:val="18"/>
              </w:rPr>
              <w:t>Where questions go</w:t>
            </w:r>
          </w:p>
        </w:tc>
        <w:tc>
          <w:tcPr>
            <w:tcW w:type="dxa" w:w="6624"/>
          </w:tcPr>
          <w:p>
            <w:r>
              <w:rPr>
                <w:sz w:val="18"/>
              </w:rPr>
              <w:t>[Channel or mailbox]</w:t>
            </w:r>
          </w:p>
        </w:tc>
      </w:tr>
    </w:tbl>
    <w:p/>
    <w:p>
      <w:pPr>
        <w:keepNext/>
      </w:pPr>
      <w:r>
        <w:rPr>
          <w:b/>
          <w:color w:val="6D28D9"/>
          <w:sz w:val="28"/>
        </w:rPr>
        <w:t>Change log</w:t>
      </w:r>
    </w:p>
    <w:tbl>
      <w:tblPr>
        <w:tblStyle w:val="TableGrid"/>
        <w:tblW w:type="auto" w:w="0"/>
        <w:tblLook w:firstColumn="1" w:firstRow="1" w:lastColumn="0" w:lastRow="0" w:noHBand="0" w:noVBand="1" w:val="04A0"/>
      </w:tblPr>
      <w:tblGrid>
        <w:gridCol w:w="2160"/>
        <w:gridCol w:w="2160"/>
        <w:gridCol w:w="2160"/>
        <w:gridCol w:w="2160"/>
      </w:tblGrid>
      <w:tr>
        <w:tc>
          <w:tcPr>
            <w:tcW w:type="dxa" w:w="1152"/>
            <w:shd w:val="clear" w:fill="6D28D9"/>
          </w:tcPr>
          <w:p>
            <w:r>
              <w:rPr>
                <w:b/>
                <w:color w:val="FFFFFF"/>
                <w:sz w:val="18"/>
              </w:rPr>
              <w:t>Version</w:t>
            </w:r>
          </w:p>
        </w:tc>
        <w:tc>
          <w:tcPr>
            <w:tcW w:type="dxa" w:w="1440"/>
            <w:shd w:val="clear" w:fill="6D28D9"/>
          </w:tcPr>
          <w:p>
            <w:r>
              <w:rPr>
                <w:b/>
                <w:color w:val="FFFFFF"/>
                <w:sz w:val="18"/>
              </w:rPr>
              <w:t>Date</w:t>
            </w:r>
          </w:p>
        </w:tc>
        <w:tc>
          <w:tcPr>
            <w:tcW w:type="dxa" w:w="4896"/>
            <w:shd w:val="clear" w:fill="6D28D9"/>
          </w:tcPr>
          <w:p>
            <w:r>
              <w:rPr>
                <w:b/>
                <w:color w:val="FFFFFF"/>
                <w:sz w:val="18"/>
              </w:rPr>
              <w:t>Change</w:t>
            </w:r>
          </w:p>
        </w:tc>
        <w:tc>
          <w:tcPr>
            <w:tcW w:type="dxa" w:w="1728"/>
            <w:shd w:val="clear" w:fill="6D28D9"/>
          </w:tcPr>
          <w:p>
            <w:r>
              <w:rPr>
                <w:b/>
                <w:color w:val="FFFFFF"/>
                <w:sz w:val="18"/>
              </w:rPr>
              <w:t>Approved by</w:t>
            </w:r>
          </w:p>
        </w:tc>
      </w:tr>
      <w:tr>
        <w:tc>
          <w:tcPr>
            <w:tcW w:type="dxa" w:w="1152"/>
          </w:tcPr>
          <w:p>
            <w:r>
              <w:rPr>
                <w:b/>
                <w:sz w:val="18"/>
              </w:rPr>
              <w:t>1.0</w:t>
            </w:r>
          </w:p>
        </w:tc>
        <w:tc>
          <w:tcPr>
            <w:tcW w:type="dxa" w:w="1440"/>
          </w:tcPr>
          <w:p>
            <w:r>
              <w:rPr>
                <w:sz w:val="18"/>
              </w:rPr>
              <w:t>[Date]</w:t>
            </w:r>
          </w:p>
        </w:tc>
        <w:tc>
          <w:tcPr>
            <w:tcW w:type="dxa" w:w="4896"/>
          </w:tcPr>
          <w:p>
            <w:r>
              <w:rPr>
                <w:sz w:val="18"/>
              </w:rPr>
              <w:t>First version</w:t>
            </w:r>
          </w:p>
        </w:tc>
        <w:tc>
          <w:tcPr>
            <w:tcW w:type="dxa" w:w="1728"/>
          </w:tcPr>
          <w:p>
            <w:r>
              <w:rPr>
                <w:sz w:val="18"/>
              </w:rPr>
              <w:t>[Name]</w:t>
            </w:r>
          </w:p>
        </w:tc>
      </w:tr>
      <w:tr>
        <w:tc>
          <w:tcPr>
            <w:tcW w:type="dxa" w:w="1152"/>
          </w:tcPr>
          <w:p>
            <w:r>
              <w:rPr>
                <w:b/>
                <w:sz w:val="18"/>
              </w:rPr>
            </w:r>
          </w:p>
        </w:tc>
        <w:tc>
          <w:tcPr>
            <w:tcW w:type="dxa" w:w="1440"/>
          </w:tcPr>
          <w:p>
            <w:r>
              <w:rPr>
                <w:sz w:val="18"/>
              </w:rPr>
            </w:r>
          </w:p>
        </w:tc>
        <w:tc>
          <w:tcPr>
            <w:tcW w:type="dxa" w:w="4896"/>
          </w:tcPr>
          <w:p>
            <w:r>
              <w:rPr>
                <w:sz w:val="18"/>
              </w:rPr>
            </w:r>
          </w:p>
        </w:tc>
        <w:tc>
          <w:tcPr>
            <w:tcW w:type="dxa" w:w="1728"/>
          </w:tcPr>
          <w:p>
            <w:r>
              <w:rPr>
                <w:sz w:val="18"/>
              </w:rPr>
            </w:r>
          </w:p>
        </w:tc>
      </w:tr>
    </w:tbl>
    <w:p/>
    <w:p>
      <w:pPr>
        <w:keepNext/>
      </w:pPr>
      <w:r>
        <w:rPr>
          <w:b/>
          <w:color w:val="6D28D9"/>
          <w:sz w:val="28"/>
        </w:rPr>
        <w:t>References</w:t>
      </w:r>
    </w:p>
    <w:p>
      <w:pPr>
        <w:keepNext/>
      </w:pPr>
      <w:r>
        <w:rPr>
          <w:i/>
          <w:color w:val="6B7280"/>
          <w:sz w:val="20"/>
        </w:rPr>
        <w:t>The frameworks this template draws on. Check the current text of any rule before relying on it.</w:t>
      </w:r>
    </w:p>
    <w:p>
      <w:r>
        <w:t>•  Regulation (EU) 2016/679 (GDPR), Arts 5, 22, 33 and 35. eur-lex.europa.eu</w:t>
      </w:r>
    </w:p>
    <w:p>
      <w:r>
        <w:t>•  OWASP Top 10 for LLM Applications 2025: LLM02 Sensitive Information Disclosure, LLM01 Prompt Injection. genai.owasp.org</w:t>
      </w:r>
    </w:p>
    <w:p>
      <w:r>
        <w:t>•  NIST AI Risk Management Framework 1.0 (NIST AI 100-1, 2023) and Generative AI Profile (NIST AI 600-1, 2024). nist.gov</w:t>
      </w:r>
    </w:p>
    <w:p>
      <w:r>
        <w:t>•  ISO/IEC 42001:2023, AI management systems. iso.org</w:t>
      </w:r>
    </w:p>
    <w:p>
      <w:r>
        <w:rPr>
          <w:i/>
          <w:color w:val="6B7280"/>
          <w:sz w:val="18"/>
        </w:rPr>
        <w:t>ShiftQuality — real knowledge for builders.  shiftquality.com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