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TEMPLATE  ·  AI POLICY</w:t>
      </w:r>
    </w:p>
    <w:p>
      <w:r>
        <w:rPr>
          <w:b/>
          <w:color w:val="3B0764"/>
          <w:sz w:val="48"/>
        </w:rPr>
        <w:t>AI Agent Permission Policy</w:t>
      </w:r>
    </w:p>
    <w:p>
      <w:r>
        <w:t>The rules for AI agents that can act in other systems: who owns each one, what it may touch, which actions need a person's approval, how it earns more autonomy, and how to stop it. This template is a starting point, not legal advice. Where a clause depends on law that applies to you (employment, privacy, sector rules), have it reviewed before you adopt it.</w:t>
      </w:r>
    </w:p>
    <w:p>
      <w:pPr>
        <w:keepNext/>
      </w:pPr>
      <w:r>
        <w:rPr>
          <w:b/>
          <w:color w:val="6D28D9"/>
          <w:sz w:val="28"/>
        </w:rPr>
        <w:t>How to use this template</w:t>
      </w:r>
    </w:p>
    <w:p>
      <w:r>
        <w:t>•  Fill the action classes in section 4 for your own systems first; they decide everything else.</w:t>
      </w:r>
    </w:p>
    <w:p>
      <w:r>
        <w:t>•  Give every agent a permission record (section 5) before it gets credentials. The record is the inventory.</w:t>
      </w:r>
    </w:p>
    <w:p>
      <w:r>
        <w:t>•  Test the stop procedure in section 8 before the first agent goes live, not after the first incident.</w:t>
      </w:r>
    </w:p>
    <w:p>
      <w:r>
        <w:t>•  Replace every [bracketed] part and delete clauses that do not apply.</w:t>
      </w:r>
    </w:p>
    <w:p>
      <w:pPr>
        <w:keepNext/>
      </w:pPr>
      <w:r>
        <w:rPr>
          <w:b/>
          <w:color w:val="6D28D9"/>
          <w:sz w:val="28"/>
        </w:rPr>
        <w:t>1. Purpose and scope</w:t>
      </w:r>
    </w:p>
    <w:p>
      <w:r>
        <w:t>This policy applies to any AI system at [Organisation] that can take actions in another system on its own: calling APIs, running code, changing data, sending messages, spending money or changing access. Assistants that only suggest text for a person to use are covered by the AI Acceptable Use Policy instead.</w:t>
      </w:r>
    </w:p>
    <w:p>
      <w:pPr>
        <w:keepNext/>
      </w:pPr>
      <w:r>
        <w:rPr>
          <w:b/>
          <w:color w:val="6D28D9"/>
          <w:sz w:val="28"/>
        </w:rPr>
        <w:t>2. Principles</w:t>
      </w:r>
    </w:p>
    <w:p>
      <w:r>
        <w:t>•  Every agent has a named human owner who is accountable for what it does.</w:t>
      </w:r>
    </w:p>
    <w:p>
      <w:r>
        <w:t>•  Least privilege: an agent gets only the tools, permissions and data its purpose needs, and read-only where reading is enough.</w:t>
      </w:r>
    </w:p>
    <w:p>
      <w:r>
        <w:t>•  Each agent has its own identity and credentials. Agents never use a person's credentials or a shared account.</w:t>
      </w:r>
    </w:p>
    <w:p>
      <w:r>
        <w:t>•  Access is time-limited and re-approved; unused permissions are removed.</w:t>
      </w:r>
    </w:p>
    <w:p>
      <w:r>
        <w:t>•  Content an agent reads (web pages, emails, documents, tool results) is data, never instructions. An agent does not act on instructions found inside content.</w:t>
      </w:r>
    </w:p>
    <w:p>
      <w:r>
        <w:t>•  Every action is logged with the agent's identity, so any action can be traced to an agent, an owner and an approval.</w:t>
      </w:r>
    </w:p>
    <w:p>
      <w:pPr>
        <w:keepNext/>
      </w:pPr>
      <w:r>
        <w:rPr>
          <w:b/>
          <w:color w:val="6D28D9"/>
          <w:sz w:val="28"/>
        </w:rPr>
        <w:t>3. Autonomy tiers</w:t>
      </w:r>
    </w:p>
    <w:p>
      <w:pPr>
        <w:keepNext/>
      </w:pPr>
      <w:r>
        <w:rPr>
          <w:i/>
          <w:color w:val="6B7280"/>
          <w:sz w:val="20"/>
        </w:rPr>
        <w:t>An agent starts at the lowest tier that lets it do its job and moves up only with evidence (section 6).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28"/>
            <w:shd w:val="clear" w:fill="6D28D9"/>
          </w:tcPr>
          <w:p>
            <w:r>
              <w:rPr>
                <w:b/>
                <w:color w:val="FFFFFF"/>
                <w:sz w:val="18"/>
              </w:rPr>
              <w:t>Tier</w:t>
            </w:r>
          </w:p>
        </w:tc>
        <w:tc>
          <w:tcPr>
            <w:tcW w:type="dxa" w:w="2880"/>
            <w:shd w:val="clear" w:fill="6D28D9"/>
          </w:tcPr>
          <w:p>
            <w:r>
              <w:rPr>
                <w:b/>
                <w:color w:val="FFFFFF"/>
                <w:sz w:val="18"/>
              </w:rPr>
              <w:t>What the agent may do</w:t>
            </w:r>
          </w:p>
        </w:tc>
        <w:tc>
          <w:tcPr>
            <w:tcW w:type="dxa" w:w="2448"/>
            <w:shd w:val="clear" w:fill="6D28D9"/>
          </w:tcPr>
          <w:p>
            <w:r>
              <w:rPr>
                <w:b/>
                <w:color w:val="FFFFFF"/>
                <w:sz w:val="18"/>
              </w:rPr>
              <w:t>Human role</w:t>
            </w:r>
          </w:p>
        </w:tc>
        <w:tc>
          <w:tcPr>
            <w:tcW w:type="dxa" w:w="2160"/>
            <w:shd w:val="clear" w:fill="6D28D9"/>
          </w:tcPr>
          <w:p>
            <w:r>
              <w:rPr>
                <w:b/>
                <w:color w:val="FFFFFF"/>
                <w:sz w:val="18"/>
              </w:rPr>
              <w:t>Typical use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0  Suggest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Propose actions; take none</w:t>
            </w:r>
          </w:p>
        </w:tc>
        <w:tc>
          <w:tcPr>
            <w:tcW w:type="dxa" w:w="2448"/>
          </w:tcPr>
          <w:p>
            <w:r>
              <w:rPr>
                <w:sz w:val="18"/>
              </w:rPr>
              <w:t>A person decides and acts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New agents, high-stakes domains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1  Act with approval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Take each action after a person approves it</w:t>
            </w:r>
          </w:p>
        </w:tc>
        <w:tc>
          <w:tcPr>
            <w:tcW w:type="dxa" w:w="2448"/>
          </w:tcPr>
          <w:p>
            <w:r>
              <w:rPr>
                <w:sz w:val="18"/>
              </w:rPr>
              <w:t>Approves every action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Write actions in production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2  Act within limits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Act alone within set limits; escalate anything outside them</w:t>
            </w:r>
          </w:p>
        </w:tc>
        <w:tc>
          <w:tcPr>
            <w:tcW w:type="dxa" w:w="2448"/>
          </w:tcPr>
          <w:p>
            <w:r>
              <w:rPr>
                <w:sz w:val="18"/>
              </w:rPr>
              <w:t>Reviews after the fact; handles escalations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Routine, reversible work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3  Autonomous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Act alone across its approved scope</w:t>
            </w:r>
          </w:p>
        </w:tc>
        <w:tc>
          <w:tcPr>
            <w:tcW w:type="dxa" w:w="2448"/>
          </w:tcPr>
          <w:p>
            <w:r>
              <w:rPr>
                <w:sz w:val="18"/>
              </w:rPr>
              <w:t>Monitors and audits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Low-risk, well-tested, reversible work</w:t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4. Action classes</w:t>
      </w:r>
    </w:p>
    <w:p>
      <w:pPr>
        <w:keepNext/>
      </w:pPr>
      <w:r>
        <w:rPr>
          <w:i/>
          <w:color w:val="6B7280"/>
          <w:sz w:val="20"/>
        </w:rPr>
        <w:t>Sort actions by what it takes to undo them. The OWASP Top 10 for LLM Applications 2025 lists 'excessive agency' (LLM06) as a top risk; its mitigations are fewer tools, narrower permissions and human approval for high-impact actions.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Class</w:t>
            </w:r>
          </w:p>
        </w:tc>
        <w:tc>
          <w:tcPr>
            <w:tcW w:type="dxa" w:w="3744"/>
            <w:shd w:val="clear" w:fill="6D28D9"/>
          </w:tcPr>
          <w:p>
            <w:r>
              <w:rPr>
                <w:b/>
                <w:color w:val="FFFFFF"/>
                <w:sz w:val="18"/>
              </w:rPr>
              <w:t>Examples</w:t>
            </w:r>
          </w:p>
        </w:tc>
        <w:tc>
          <w:tcPr>
            <w:tcW w:type="dxa" w:w="3456"/>
            <w:shd w:val="clear" w:fill="6D28D9"/>
          </w:tcPr>
          <w:p>
            <w:r>
              <w:rPr>
                <w:b/>
                <w:color w:val="FFFFFF"/>
                <w:sz w:val="18"/>
              </w:rPr>
              <w:t>Minimum control</w:t>
            </w:r>
          </w:p>
        </w:tc>
      </w:tr>
      <w:tr>
        <w:tc>
          <w:tcPr>
            <w:tcW w:type="dxa" w:w="2016"/>
          </w:tcPr>
          <w:p>
            <w:r>
              <w:rPr>
                <w:b/>
                <w:sz w:val="18"/>
              </w:rPr>
              <w:t>Read</w:t>
            </w:r>
          </w:p>
        </w:tc>
        <w:tc>
          <w:tcPr>
            <w:tcW w:type="dxa" w:w="3744"/>
          </w:tcPr>
          <w:p>
            <w:r>
              <w:rPr>
                <w:sz w:val="18"/>
              </w:rPr>
              <w:t>Search, read records, read files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Logged; scoped to the data tier the agent is approved for</w:t>
            </w:r>
          </w:p>
        </w:tc>
      </w:tr>
      <w:tr>
        <w:tc>
          <w:tcPr>
            <w:tcW w:type="dxa" w:w="2016"/>
          </w:tcPr>
          <w:p>
            <w:r>
              <w:rPr>
                <w:b/>
                <w:sz w:val="18"/>
              </w:rPr>
              <w:t>Reversible write</w:t>
            </w:r>
          </w:p>
        </w:tc>
        <w:tc>
          <w:tcPr>
            <w:tcW w:type="dxa" w:w="3744"/>
          </w:tcPr>
          <w:p>
            <w:r>
              <w:rPr>
                <w:sz w:val="18"/>
              </w:rPr>
              <w:t>Draft a document, create a ticket, open a pull request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Logged; within limits from tier 2</w:t>
            </w:r>
          </w:p>
        </w:tc>
      </w:tr>
      <w:tr>
        <w:tc>
          <w:tcPr>
            <w:tcW w:type="dxa" w:w="2016"/>
          </w:tcPr>
          <w:p>
            <w:r>
              <w:rPr>
                <w:b/>
                <w:sz w:val="18"/>
              </w:rPr>
              <w:t>Hard to reverse or external</w:t>
            </w:r>
          </w:p>
        </w:tc>
        <w:tc>
          <w:tcPr>
            <w:tcW w:type="dxa" w:w="3744"/>
          </w:tcPr>
          <w:p>
            <w:r>
              <w:rPr>
                <w:sz w:val="18"/>
              </w:rPr>
              <w:t>Send email or messages outside the organisation, publish, merge to main, delete data, change records customers see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Human approval per action, at any tier</w:t>
            </w:r>
          </w:p>
        </w:tc>
      </w:tr>
      <w:tr>
        <w:tc>
          <w:tcPr>
            <w:tcW w:type="dxa" w:w="2016"/>
          </w:tcPr>
          <w:p>
            <w:r>
              <w:rPr>
                <w:b/>
                <w:sz w:val="18"/>
              </w:rPr>
              <w:t>Money and access</w:t>
            </w:r>
          </w:p>
        </w:tc>
        <w:tc>
          <w:tcPr>
            <w:tcW w:type="dxa" w:w="3744"/>
          </w:tcPr>
          <w:p>
            <w:r>
              <w:rPr>
                <w:sz w:val="18"/>
              </w:rPr>
              <w:t>Payments, refunds, purchases, granting or changing permissions, creating accounts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Human approval per action, at any tier, plus spend or scope limits</w:t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5. Permission record</w:t>
      </w:r>
    </w:p>
    <w:p>
      <w:pPr>
        <w:keepNext/>
      </w:pPr>
      <w:r>
        <w:rPr>
          <w:i/>
          <w:color w:val="6B7280"/>
          <w:sz w:val="20"/>
        </w:rPr>
        <w:t>One row per agent, kept where the security team can see it. No row, no credentials.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1296"/>
            <w:shd w:val="clear" w:fill="6D28D9"/>
          </w:tcPr>
          <w:p>
            <w:r>
              <w:rPr>
                <w:b/>
                <w:color w:val="FFFFFF"/>
                <w:sz w:val="18"/>
              </w:rPr>
              <w:t>Agent</w:t>
            </w:r>
          </w:p>
        </w:tc>
        <w:tc>
          <w:tcPr>
            <w:tcW w:type="dxa" w:w="864"/>
            <w:shd w:val="clear" w:fill="6D28D9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152"/>
            <w:shd w:val="clear" w:fill="6D28D9"/>
          </w:tcPr>
          <w:p>
            <w:r>
              <w:rPr>
                <w:b/>
                <w:color w:val="FFFFFF"/>
                <w:sz w:val="18"/>
              </w:rPr>
              <w:t>Purpose</w:t>
            </w:r>
          </w:p>
        </w:tc>
        <w:tc>
          <w:tcPr>
            <w:tcW w:type="dxa" w:w="1584"/>
            <w:shd w:val="clear" w:fill="6D28D9"/>
          </w:tcPr>
          <w:p>
            <w:r>
              <w:rPr>
                <w:b/>
                <w:color w:val="FFFFFF"/>
                <w:sz w:val="18"/>
              </w:rPr>
              <w:t>Tools and systems (read / write)</w:t>
            </w:r>
          </w:p>
        </w:tc>
        <w:tc>
          <w:tcPr>
            <w:tcW w:type="dxa" w:w="864"/>
            <w:shd w:val="clear" w:fill="6D28D9"/>
          </w:tcPr>
          <w:p>
            <w:r>
              <w:rPr>
                <w:b/>
                <w:color w:val="FFFFFF"/>
                <w:sz w:val="18"/>
              </w:rPr>
              <w:t>Highest data tier</w:t>
            </w:r>
          </w:p>
        </w:tc>
        <w:tc>
          <w:tcPr>
            <w:tcW w:type="dxa" w:w="576"/>
            <w:shd w:val="clear" w:fill="6D28D9"/>
          </w:tcPr>
          <w:p>
            <w:r>
              <w:rPr>
                <w:b/>
                <w:color w:val="FFFFFF"/>
                <w:sz w:val="18"/>
              </w:rPr>
              <w:t>Tier</w:t>
            </w:r>
          </w:p>
        </w:tc>
        <w:tc>
          <w:tcPr>
            <w:tcW w:type="dxa" w:w="1008"/>
            <w:shd w:val="clear" w:fill="6D28D9"/>
          </w:tcPr>
          <w:p>
            <w:r>
              <w:rPr>
                <w:b/>
                <w:color w:val="FFFFFF"/>
                <w:sz w:val="18"/>
              </w:rPr>
              <w:t>Limits</w:t>
            </w:r>
          </w:p>
        </w:tc>
        <w:tc>
          <w:tcPr>
            <w:tcW w:type="dxa" w:w="864"/>
            <w:shd w:val="clear" w:fill="6D28D9"/>
          </w:tcPr>
          <w:p>
            <w:r>
              <w:rPr>
                <w:b/>
                <w:color w:val="FFFFFF"/>
                <w:sz w:val="18"/>
              </w:rPr>
              <w:t>Expires</w:t>
            </w:r>
          </w:p>
        </w:tc>
        <w:tc>
          <w:tcPr>
            <w:tcW w:type="dxa" w:w="1008"/>
            <w:shd w:val="clear" w:fill="6D28D9"/>
          </w:tcPr>
          <w:p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1296"/>
          </w:tcPr>
          <w:p>
            <w:r>
              <w:rPr>
                <w:b/>
                <w:sz w:val="18"/>
              </w:rPr>
              <w:t>[support-triage-agent]</w:t>
            </w:r>
          </w:p>
        </w:tc>
        <w:tc>
          <w:tcPr>
            <w:tcW w:type="dxa" w:w="864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[Tag and route tickets]</w:t>
            </w:r>
          </w:p>
        </w:tc>
        <w:tc>
          <w:tcPr>
            <w:tcW w:type="dxa" w:w="1584"/>
          </w:tcPr>
          <w:p>
            <w:r>
              <w:rPr>
                <w:sz w:val="18"/>
              </w:rPr>
              <w:t>[Helpdesk: read, write tags]</w:t>
            </w:r>
          </w:p>
        </w:tc>
        <w:tc>
          <w:tcPr>
            <w:tcW w:type="dxa" w:w="864"/>
          </w:tcPr>
          <w:p>
            <w:r>
              <w:rPr>
                <w:sz w:val="18"/>
              </w:rPr>
              <w:t>[Internal]</w:t>
            </w:r>
          </w:p>
        </w:tc>
        <w:tc>
          <w:tcPr>
            <w:tcW w:type="dxa" w:w="576"/>
          </w:tcPr>
          <w:p>
            <w:r>
              <w:rPr>
                <w:sz w:val="18"/>
              </w:rPr>
              <w:t>[2]</w:t>
            </w:r>
          </w:p>
        </w:tc>
        <w:tc>
          <w:tcPr>
            <w:tcW w:type="dxa" w:w="1008"/>
          </w:tcPr>
          <w:p>
            <w:r>
              <w:rPr>
                <w:sz w:val="18"/>
              </w:rPr>
              <w:t>[200 tickets/day]</w:t>
            </w:r>
          </w:p>
        </w:tc>
        <w:tc>
          <w:tcPr>
            <w:tcW w:type="dxa" w:w="864"/>
          </w:tcPr>
          <w:p>
            <w:r>
              <w:rPr>
                <w:sz w:val="18"/>
              </w:rPr>
              <w:t>[Date]</w:t>
            </w:r>
          </w:p>
        </w:tc>
        <w:tc>
          <w:tcPr>
            <w:tcW w:type="dxa" w:w="1008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1296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4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>
              <w:rPr>
                <w:sz w:val="18"/>
              </w:rPr>
            </w:r>
          </w:p>
        </w:tc>
        <w:tc>
          <w:tcPr>
            <w:tcW w:type="dxa" w:w="57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6. Moving up a tier</w:t>
      </w:r>
    </w:p>
    <w:p>
      <w:r>
        <w:t>An owner may ask for a higher tier after the agent has run at its current tier for [30 days / 500 actions] with:</w:t>
      </w:r>
    </w:p>
    <w:p>
      <w:r>
        <w:t>•  Evaluation results against a fixed test set, including attempts to make it misuse its tools.</w:t>
      </w:r>
    </w:p>
    <w:p>
      <w:r>
        <w:t>•  No unresolved incidents in that period, and the error rate in its logs below [threshold].</w:t>
      </w:r>
    </w:p>
    <w:p>
      <w:r>
        <w:t>•  Approval from [security owner] and [business owner]. Any incident can move an agent back down a tier.</w:t>
      </w:r>
    </w:p>
    <w:p>
      <w:pPr>
        <w:keepNext/>
      </w:pPr>
      <w:r>
        <w:rPr>
          <w:b/>
          <w:color w:val="6D28D9"/>
          <w:sz w:val="28"/>
        </w:rPr>
        <w:t>7. Limits and monitoring</w:t>
      </w:r>
    </w:p>
    <w:p>
      <w:r>
        <w:t>•  Every agent has rate and spend limits enforced outside the agent, in the systems it calls.</w:t>
      </w:r>
    </w:p>
    <w:p>
      <w:r>
        <w:t>•  Alerts fire on actions outside normal patterns, on repeated failures and on any attempt to use a tool it was not granted.</w:t>
      </w:r>
    </w:p>
    <w:p>
      <w:r>
        <w:t>•  [Owner] reviews a sample of each agent's actions [weekly at tier 2, monthly at tier 3].</w:t>
      </w:r>
    </w:p>
    <w:p>
      <w:pPr>
        <w:keepNext/>
      </w:pPr>
      <w:r>
        <w:rPr>
          <w:b/>
          <w:color w:val="6D28D9"/>
          <w:sz w:val="28"/>
        </w:rPr>
        <w:t>8. Stopping an agent</w:t>
      </w:r>
    </w:p>
    <w:p>
      <w:pPr>
        <w:keepNext/>
      </w:pPr>
      <w:r>
        <w:rPr>
          <w:i/>
          <w:color w:val="6B7280"/>
          <w:sz w:val="20"/>
        </w:rPr>
        <w:t>If nobody has tried the stop procedure, assume it does not work.</w:t>
      </w:r>
    </w:p>
    <w:p>
      <w:r>
        <w:t>Each agent has a documented way to stop it immediately by revoking its credentials or disabling it, which [on-call role] can use without the owner. The procedure is tested [before go-live and every quarter]. After a stop, the agent returns to tier 0 until the owner and [security owner] agree it can resume.</w:t>
      </w:r>
    </w:p>
    <w:p>
      <w:pPr>
        <w:keepNext/>
      </w:pPr>
      <w:r>
        <w:rPr>
          <w:b/>
          <w:color w:val="6D28D9"/>
          <w:sz w:val="28"/>
        </w:rPr>
        <w:t>9. Review</w:t>
      </w:r>
    </w:p>
    <w:p>
      <w:r>
        <w:t>Every [quarter], each owner confirms their agent's permission record is still accurate, removes unused permissions, and retires agents that are no longer needed by revoking their credentials.</w:t>
      </w:r>
    </w:p>
    <w:p>
      <w:pPr>
        <w:keepNext/>
      </w:pPr>
      <w:r>
        <w:rPr>
          <w:b/>
          <w:color w:val="6D28D9"/>
          <w:sz w:val="28"/>
        </w:rPr>
        <w:t>Ownership, exceptions and review</w:t>
      </w:r>
    </w:p>
    <w:p>
      <w:pPr>
        <w:keepNext/>
      </w:pPr>
      <w:r>
        <w:rPr>
          <w:i/>
          <w:color w:val="6B7280"/>
          <w:sz w:val="20"/>
        </w:rPr>
        <w:t>A policy without an owner and a review date goes stale. Six months is a sensible review cycle while the rules and tools move this fast.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592"/>
            <w:shd w:val="clear" w:fill="6D28D9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6624"/>
            <w:shd w:val="clear" w:fill="6D28D9"/>
          </w:tcPr>
          <w:p>
            <w:r>
              <w:rPr>
                <w:b/>
                <w:color w:val="FFFFFF"/>
                <w:sz w:val="18"/>
              </w:rPr>
              <w:t>Entry</w:t>
            </w:r>
          </w:p>
        </w:tc>
      </w:tr>
      <w:tr>
        <w:tc>
          <w:tcPr>
            <w:tcW w:type="dxa" w:w="2592"/>
          </w:tcPr>
          <w:p>
            <w:r>
              <w:rPr>
                <w:b/>
                <w:sz w:val="18"/>
              </w:rPr>
              <w:t>Policy owner</w:t>
            </w:r>
          </w:p>
        </w:tc>
        <w:tc>
          <w:tcPr>
            <w:tcW w:type="dxa" w:w="6624"/>
          </w:tcPr>
          <w:p>
            <w:r>
              <w:rPr>
                <w:sz w:val="18"/>
              </w:rPr>
              <w:t>[Role, for example Head of Security or Head of Platform]</w:t>
            </w:r>
          </w:p>
        </w:tc>
      </w:tr>
      <w:tr>
        <w:tc>
          <w:tcPr>
            <w:tcW w:type="dxa" w:w="2592"/>
          </w:tcPr>
          <w:p>
            <w:r>
              <w:rPr>
                <w:b/>
                <w:sz w:val="18"/>
              </w:rPr>
              <w:t>Approved by</w:t>
            </w:r>
          </w:p>
        </w:tc>
        <w:tc>
          <w:tcPr>
            <w:tcW w:type="dxa" w:w="6624"/>
          </w:tcPr>
          <w:p>
            <w:r>
              <w:rPr>
                <w:sz w:val="18"/>
              </w:rPr>
              <w:t>[Name, role]</w:t>
            </w:r>
          </w:p>
        </w:tc>
      </w:tr>
      <w:tr>
        <w:tc>
          <w:tcPr>
            <w:tcW w:type="dxa" w:w="2592"/>
          </w:tcPr>
          <w:p>
            <w:r>
              <w:rPr>
                <w:b/>
                <w:sz w:val="18"/>
              </w:rPr>
              <w:t>Effective date</w:t>
            </w:r>
          </w:p>
        </w:tc>
        <w:tc>
          <w:tcPr>
            <w:tcW w:type="dxa" w:w="6624"/>
          </w:tcPr>
          <w:p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2592"/>
          </w:tcPr>
          <w:p>
            <w:r>
              <w:rPr>
                <w:b/>
                <w:sz w:val="18"/>
              </w:rPr>
              <w:t>Next review</w:t>
            </w:r>
          </w:p>
        </w:tc>
        <w:tc>
          <w:tcPr>
            <w:tcW w:type="dxa" w:w="6624"/>
          </w:tcPr>
          <w:p>
            <w:r>
              <w:rPr>
                <w:sz w:val="18"/>
              </w:rPr>
              <w:t>[Date, no later than six months from the effective date]</w:t>
            </w:r>
          </w:p>
        </w:tc>
      </w:tr>
      <w:tr>
        <w:tc>
          <w:tcPr>
            <w:tcW w:type="dxa" w:w="2592"/>
          </w:tcPr>
          <w:p>
            <w:r>
              <w:rPr>
                <w:b/>
                <w:sz w:val="18"/>
              </w:rPr>
              <w:t>Exceptions</w:t>
            </w:r>
          </w:p>
        </w:tc>
        <w:tc>
          <w:tcPr>
            <w:tcW w:type="dxa" w:w="6624"/>
          </w:tcPr>
          <w:p>
            <w:r>
              <w:rPr>
                <w:sz w:val="18"/>
              </w:rPr>
              <w:t>Requested in writing from the policy owner, time-limited, and recorded in the exceptions log</w:t>
            </w:r>
          </w:p>
        </w:tc>
      </w:tr>
      <w:tr>
        <w:tc>
          <w:tcPr>
            <w:tcW w:type="dxa" w:w="2592"/>
          </w:tcPr>
          <w:p>
            <w:r>
              <w:rPr>
                <w:b/>
                <w:sz w:val="18"/>
              </w:rPr>
              <w:t>Where questions go</w:t>
            </w:r>
          </w:p>
        </w:tc>
        <w:tc>
          <w:tcPr>
            <w:tcW w:type="dxa" w:w="6624"/>
          </w:tcPr>
          <w:p>
            <w:r>
              <w:rPr>
                <w:sz w:val="18"/>
              </w:rPr>
              <w:t>[Channel or mailbox]</w:t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Change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val="clear" w:fill="6D28D9"/>
          </w:tcPr>
          <w:p>
            <w:r>
              <w:rPr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1440"/>
            <w:shd w:val="clear" w:fill="6D28D9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4896"/>
            <w:shd w:val="clear" w:fill="6D28D9"/>
          </w:tcPr>
          <w:p>
            <w:r>
              <w:rPr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1728"/>
            <w:shd w:val="clear" w:fill="6D28D9"/>
          </w:tcPr>
          <w:p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1152"/>
          </w:tcPr>
          <w:p>
            <w:r>
              <w:rPr>
                <w:b/>
                <w:sz w:val="18"/>
              </w:rPr>
              <w:t>1.0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[Date]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First version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1152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0"/>
          </w:tcPr>
          <w:p>
            <w:r>
              <w:rPr>
                <w:sz w:val="18"/>
              </w:rPr>
            </w:r>
          </w:p>
        </w:tc>
        <w:tc>
          <w:tcPr>
            <w:tcW w:type="dxa" w:w="489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References</w:t>
      </w:r>
    </w:p>
    <w:p>
      <w:pPr>
        <w:keepNext/>
      </w:pPr>
      <w:r>
        <w:rPr>
          <w:i/>
          <w:color w:val="6B7280"/>
          <w:sz w:val="20"/>
        </w:rPr>
        <w:t>The frameworks this template draws on. Check the current text of any rule before relying on it.</w:t>
      </w:r>
    </w:p>
    <w:p>
      <w:r>
        <w:t>•  OWASP Top 10 for LLM Applications 2025: LLM06 Excessive Agency, LLM01 Prompt Injection. genai.owasp.org</w:t>
      </w:r>
    </w:p>
    <w:p>
      <w:r>
        <w:t>•  NIST AI Risk Management Framework 1.0 (NIST AI 100-1, 2023), GOVERN and MANAGE functions. nist.gov</w:t>
      </w:r>
    </w:p>
    <w:p>
      <w:r>
        <w:t>•  NIST SP 800-53 Rev. 5, AC-6 Least Privilege. csrc.nist.gov</w:t>
      </w:r>
    </w:p>
    <w:p>
      <w:r>
        <w:t>•  ShiftQuality: What Is AI Agent Management? and Agent Governance Starts With an Inventory Nobody Has. shiftquality.com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